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EC158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950084"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ECC PT1(12)046_Annex 08</w:t>
            </w:r>
            <w:bookmarkStart w:id="0" w:name="_GoBack"/>
            <w:bookmarkEnd w:id="0"/>
          </w:p>
          <w:p w:rsidR="00EC1580" w:rsidRDefault="00EC1580"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58061C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17pt;height:61pt;visibility:visible">
                  <v:imagedata r:id="rId8" o:title=""/>
                </v:shape>
              </w:pict>
            </w:r>
          </w:p>
        </w:tc>
      </w:tr>
      <w:tr w:rsidR="00EC158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</w:p>
          <w:p w:rsidR="00EC1580" w:rsidRDefault="00EC1580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EC1580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EC1580" w:rsidRDefault="00EC158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C1580" w:rsidRDefault="00773BF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smartTag w:uri="urn:schemas-microsoft-com:office:smarttags" w:element="date">
              <w:smartTagPr>
                <w:attr w:name="Month" w:val="4"/>
                <w:attr w:name="Day" w:val="13"/>
                <w:attr w:name="Year" w:val="2012"/>
              </w:smartTagPr>
              <w:r>
                <w:rPr>
                  <w:rFonts w:ascii="Arial" w:hAnsi="Arial" w:cs="Arial"/>
                  <w:sz w:val="22"/>
                  <w:szCs w:val="22"/>
                </w:rPr>
                <w:t>13 April 2012</w:t>
              </w:r>
            </w:smartTag>
          </w:p>
        </w:tc>
      </w:tr>
      <w:tr w:rsidR="00EC1580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1580" w:rsidRDefault="00773B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smartTag w:uri="urn:schemas-microsoft-com:office:smarttags" w:element="stockticker">
              <w:r>
                <w:rPr>
                  <w:rFonts w:ascii="Arial" w:hAnsi="Arial" w:cs="Arial"/>
                  <w:sz w:val="22"/>
                  <w:szCs w:val="22"/>
                </w:rPr>
                <w:t>ECC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 PT1 </w:t>
            </w:r>
          </w:p>
          <w:p w:rsidR="00EC1580" w:rsidRDefault="00EC15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580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rPr>
                <w:rFonts w:ascii="Arial" w:hAnsi="Arial" w:cs="Arial"/>
                <w:sz w:val="22"/>
                <w:szCs w:val="22"/>
              </w:rPr>
            </w:pPr>
          </w:p>
          <w:p w:rsidR="00EC1580" w:rsidRDefault="00773B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Elements for the PT1 Chairman’s Report to WG FM on Broadband Direct-Air-to-Ground Communications (DA2GC) and terrestrial LTE in the frequency band 3400-3600 MHz</w:t>
            </w:r>
          </w:p>
          <w:p w:rsidR="00EC1580" w:rsidRDefault="00EC1580">
            <w:pPr>
              <w:ind w:left="1430" w:hanging="143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1580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1580" w:rsidRDefault="00EC158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C1580" w:rsidRDefault="00EC1580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EC1580" w:rsidRDefault="00773BFA">
      <w:pPr>
        <w:rPr>
          <w:rFonts w:ascii="Arial" w:hAnsi="Arial" w:cs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 w:cs="Arial"/>
            <w:noProof/>
            <w:sz w:val="22"/>
            <w:szCs w:val="22"/>
          </w:rPr>
          <w:t>ECC</w:t>
        </w:r>
      </w:smartTag>
      <w:r>
        <w:rPr>
          <w:rFonts w:ascii="Arial" w:hAnsi="Arial" w:cs="Arial"/>
          <w:noProof/>
          <w:sz w:val="22"/>
          <w:szCs w:val="22"/>
        </w:rPr>
        <w:t xml:space="preserve"> PT1 has noted the view from SE44 that </w:t>
      </w:r>
      <w:r>
        <w:rPr>
          <w:rFonts w:ascii="Arial" w:hAnsi="Arial" w:cs="Arial"/>
          <w:sz w:val="22"/>
          <w:szCs w:val="22"/>
        </w:rPr>
        <w:t xml:space="preserve">the most spectrum efficient solution for DA2GC would require a harmonized FDD frequency arrangement in the 3400-3600 MHz band to include both DA2GC and MFCN. </w:t>
      </w:r>
      <w:smartTag w:uri="urn:schemas-microsoft-com:office:smarttags" w:element="stockticker">
        <w:r>
          <w:rPr>
            <w:rFonts w:ascii="Arial" w:hAnsi="Arial" w:cs="Arial"/>
            <w:sz w:val="22"/>
            <w:szCs w:val="22"/>
          </w:rPr>
          <w:t>ECC</w:t>
        </w:r>
      </w:smartTag>
      <w:r>
        <w:rPr>
          <w:rFonts w:ascii="Arial" w:hAnsi="Arial" w:cs="Arial"/>
          <w:sz w:val="22"/>
          <w:szCs w:val="22"/>
        </w:rPr>
        <w:t xml:space="preserve"> Decision (11)06 currently contains both FDD and TDD arrangements for this band and a review of this decision in relation to the 3400-3600 MHz band is scheduled for the end of 2013 with the aim to provide a preferred arrangement.  </w:t>
      </w:r>
    </w:p>
    <w:p w:rsidR="00EC1580" w:rsidRDefault="00EC1580">
      <w:pPr>
        <w:rPr>
          <w:rFonts w:ascii="Arial" w:hAnsi="Arial" w:cs="Arial"/>
          <w:sz w:val="22"/>
          <w:szCs w:val="22"/>
        </w:rPr>
      </w:pPr>
    </w:p>
    <w:p w:rsidR="00EC1580" w:rsidRDefault="00EC1580">
      <w:pPr>
        <w:rPr>
          <w:rFonts w:ascii="Arial" w:hAnsi="Arial" w:cs="Arial"/>
          <w:sz w:val="22"/>
          <w:szCs w:val="22"/>
        </w:rPr>
      </w:pPr>
    </w:p>
    <w:p w:rsidR="00EC1580" w:rsidRDefault="00773B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Within CEPT countries both FDD and TDD licenses have been issued with various expiration dates and for various parts of the band (see ECO Report 03).</w:t>
      </w:r>
    </w:p>
    <w:p w:rsidR="00EC1580" w:rsidRDefault="00EC1580">
      <w:pPr>
        <w:rPr>
          <w:rFonts w:ascii="Arial" w:hAnsi="Arial" w:cs="Arial"/>
          <w:sz w:val="22"/>
          <w:szCs w:val="22"/>
          <w:lang w:eastAsia="en-GB"/>
        </w:rPr>
      </w:pPr>
    </w:p>
    <w:sectPr w:rsidR="00EC1580">
      <w:headerReference w:type="first" r:id="rId9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1C" w:rsidRDefault="0058061C">
      <w:r>
        <w:separator/>
      </w:r>
    </w:p>
  </w:endnote>
  <w:endnote w:type="continuationSeparator" w:id="0">
    <w:p w:rsidR="0058061C" w:rsidRDefault="0058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1C" w:rsidRDefault="0058061C">
      <w:r>
        <w:separator/>
      </w:r>
    </w:p>
  </w:footnote>
  <w:footnote w:type="continuationSeparator" w:id="0">
    <w:p w:rsidR="0058061C" w:rsidRDefault="00580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80" w:rsidRDefault="00EC1580">
    <w:pPr>
      <w:pStyle w:val="En-tte"/>
      <w:jc w:val="right"/>
      <w:rPr>
        <w:rFonts w:ascii="Arial" w:hAnsi="Arial" w:cs="Arial"/>
        <w:b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C7A1CBB"/>
    <w:multiLevelType w:val="hybridMultilevel"/>
    <w:tmpl w:val="F434F5D8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2A634077"/>
    <w:multiLevelType w:val="hybridMultilevel"/>
    <w:tmpl w:val="5344ECEC"/>
    <w:lvl w:ilvl="0" w:tplc="5B44B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301DD"/>
    <w:multiLevelType w:val="hybridMultilevel"/>
    <w:tmpl w:val="5D561E1A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B91258"/>
    <w:multiLevelType w:val="hybridMultilevel"/>
    <w:tmpl w:val="B61C0836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61CD4111"/>
    <w:multiLevelType w:val="hybridMultilevel"/>
    <w:tmpl w:val="9CBE9EEE"/>
    <w:lvl w:ilvl="0" w:tplc="64604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580"/>
    <w:rsid w:val="0058061C"/>
    <w:rsid w:val="00773BFA"/>
    <w:rsid w:val="00777316"/>
    <w:rsid w:val="00950084"/>
    <w:rsid w:val="00D55D9F"/>
    <w:rsid w:val="00EC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Pr>
      <w:lang w:val="en-GB" w:eastAsia="de-DE"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uiPriority w:val="99"/>
    <w:semiHidden/>
    <w:locked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Titre4Car">
    <w:name w:val="Titre 4 Car"/>
    <w:link w:val="Titre4"/>
    <w:uiPriority w:val="99"/>
    <w:semiHidden/>
    <w:locked/>
    <w:rPr>
      <w:rFonts w:ascii="Calibri" w:hAnsi="Calibri" w:cs="Times New Roman"/>
      <w:b/>
      <w:bCs/>
      <w:sz w:val="28"/>
      <w:szCs w:val="28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Pr>
      <w:rFonts w:cs="Times New Roman"/>
      <w:sz w:val="2"/>
      <w:lang w:val="en-GB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link w:val="Notedebasdepage"/>
    <w:uiPriority w:val="99"/>
    <w:semiHidden/>
    <w:locked/>
    <w:rPr>
      <w:rFonts w:cs="Times New Roman"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semiHidden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En-tteCar">
    <w:name w:val="En-tête Car"/>
    <w:link w:val="En-tte"/>
    <w:uiPriority w:val="99"/>
    <w:semiHidden/>
    <w:locked/>
    <w:rPr>
      <w:rFonts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link w:val="Pieddepage"/>
    <w:uiPriority w:val="99"/>
    <w:semiHidden/>
    <w:locked/>
    <w:rPr>
      <w:rFonts w:cs="Times New Roman"/>
      <w:sz w:val="20"/>
      <w:szCs w:val="20"/>
      <w:lang w:val="en-GB"/>
    </w:rPr>
  </w:style>
  <w:style w:type="paragraph" w:customStyle="1" w:styleId="CharChar">
    <w:name w:val="Char Char"/>
    <w:basedOn w:val="Normal"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Pr>
      <w:lang w:val="en-GB" w:eastAsia="de-DE"/>
    </w:rPr>
  </w:style>
  <w:style w:type="character" w:customStyle="1" w:styleId="a">
    <w:name w:val="Знак Знак"/>
    <w:uiPriority w:val="99"/>
    <w:rPr>
      <w:rFonts w:ascii="Tahoma" w:hAnsi="Tahoma"/>
      <w:sz w:val="16"/>
      <w:lang w:val="en-GB" w:eastAsia="de-DE"/>
    </w:rPr>
  </w:style>
  <w:style w:type="character" w:styleId="Lienhypertexte">
    <w:name w:val="Hyperlink"/>
    <w:uiPriority w:val="99"/>
    <w:semiHidden/>
    <w:rPr>
      <w:rFonts w:cs="Times New Roman"/>
      <w:color w:val="0000FF"/>
      <w:u w:val="single"/>
    </w:rPr>
  </w:style>
  <w:style w:type="character" w:styleId="Appelnotedebasdep">
    <w:name w:val="footnote reference"/>
    <w:uiPriority w:val="99"/>
    <w:semiHidden/>
    <w:rPr>
      <w:rFonts w:cs="Times New Roman"/>
      <w:vertAlign w:val="superscript"/>
    </w:rPr>
  </w:style>
  <w:style w:type="paragraph" w:styleId="Paragraphedeliste">
    <w:name w:val="List Paragraph"/>
    <w:basedOn w:val="Normal"/>
    <w:uiPriority w:val="99"/>
    <w:qFormat/>
    <w:pPr>
      <w:ind w:left="720"/>
      <w:contextualSpacing/>
    </w:pPr>
  </w:style>
  <w:style w:type="character" w:customStyle="1" w:styleId="anti-spider">
    <w:name w:val="anti-spider"/>
    <w:uiPriority w:val="99"/>
    <w:rPr>
      <w:rFonts w:cs="Times New Roman"/>
    </w:rPr>
  </w:style>
  <w:style w:type="paragraph" w:styleId="Lgende">
    <w:name w:val="caption"/>
    <w:basedOn w:val="Normal"/>
    <w:next w:val="Normal"/>
    <w:uiPriority w:val="99"/>
    <w:qFormat/>
    <w:pPr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from FM PT 48 to SE PT 44</vt:lpstr>
      <vt:lpstr>LS from FM PT 48 to SE PT 44</vt:lpstr>
    </vt:vector>
  </TitlesOfParts>
  <Company>FM PT 48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FM PT 48 to SE PT 44</dc:title>
  <dc:subject>Meeting #3, ANFR, Maisons-Alfort</dc:subject>
  <dc:creator>ECC PT1</dc:creator>
  <dc:description>3400-3600 MHz</dc:description>
  <cp:lastModifiedBy>ECC PT1</cp:lastModifiedBy>
  <cp:revision>3</cp:revision>
  <cp:lastPrinted>2010-11-08T10:24:00Z</cp:lastPrinted>
  <dcterms:created xsi:type="dcterms:W3CDTF">2012-04-16T09:52:00Z</dcterms:created>
  <dcterms:modified xsi:type="dcterms:W3CDTF">2012-04-16T09:52:00Z</dcterms:modified>
</cp:coreProperties>
</file>